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7DC" w:rsidRPr="008518BE" w:rsidRDefault="008207DC" w:rsidP="008518BE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518BE">
        <w:rPr>
          <w:rFonts w:ascii="Arial" w:hAnsi="Arial" w:cs="Arial"/>
          <w:sz w:val="24"/>
          <w:szCs w:val="24"/>
        </w:rPr>
        <w:t>Bank</w:t>
      </w:r>
    </w:p>
    <w:p w:rsidR="008207DC" w:rsidRPr="00C56135" w:rsidRDefault="008207DC" w:rsidP="008518BE">
      <w:pPr>
        <w:pStyle w:val="Listenabsatz"/>
        <w:spacing w:line="360" w:lineRule="auto"/>
        <w:ind w:left="1065"/>
        <w:rPr>
          <w:rFonts w:ascii="Arial" w:hAnsi="Arial" w:cs="Arial"/>
          <w:sz w:val="24"/>
          <w:szCs w:val="24"/>
        </w:rPr>
      </w:pPr>
    </w:p>
    <w:p w:rsidR="008207DC" w:rsidRPr="00C56135" w:rsidRDefault="008207DC" w:rsidP="008518BE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 xml:space="preserve">Formlose Auflistung </w:t>
      </w:r>
      <w:r w:rsidRPr="008518BE">
        <w:rPr>
          <w:rFonts w:ascii="Arial" w:hAnsi="Arial" w:cs="Arial"/>
          <w:sz w:val="24"/>
          <w:szCs w:val="24"/>
          <w:u w:val="single"/>
        </w:rPr>
        <w:t>aller</w:t>
      </w:r>
      <w:r w:rsidRPr="00C56135">
        <w:rPr>
          <w:rFonts w:ascii="Arial" w:hAnsi="Arial" w:cs="Arial"/>
          <w:sz w:val="24"/>
          <w:szCs w:val="24"/>
        </w:rPr>
        <w:t xml:space="preserve"> Bankverbindungen (IBAN, Sparbuch, Depot, Schließfach </w:t>
      </w:r>
      <w:proofErr w:type="spellStart"/>
      <w:r w:rsidRPr="00C56135">
        <w:rPr>
          <w:rFonts w:ascii="Arial" w:hAnsi="Arial" w:cs="Arial"/>
          <w:sz w:val="24"/>
          <w:szCs w:val="24"/>
        </w:rPr>
        <w:t>etc</w:t>
      </w:r>
      <w:proofErr w:type="spellEnd"/>
      <w:r w:rsidRPr="00C56135">
        <w:rPr>
          <w:rFonts w:ascii="Arial" w:hAnsi="Arial" w:cs="Arial"/>
          <w:sz w:val="24"/>
          <w:szCs w:val="24"/>
        </w:rPr>
        <w:t xml:space="preserve">). Dem Bevollmächtigten, Betreuer bzw. Erben wird es so erleichtert, schnell einen Überblick zu gewinnen. Insbesondere bei älteren Sparbüchern bei verschiedenen Banken kann dies hilfreich sein. </w:t>
      </w:r>
    </w:p>
    <w:p w:rsidR="008207DC" w:rsidRPr="00C56135" w:rsidRDefault="008207DC" w:rsidP="008518BE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b/>
          <w:sz w:val="24"/>
          <w:szCs w:val="24"/>
          <w:u w:val="single"/>
        </w:rPr>
        <w:t>WICHTIG!!!!!    KEINE</w:t>
      </w:r>
      <w:r w:rsidRPr="00C56135">
        <w:rPr>
          <w:rFonts w:ascii="Arial" w:hAnsi="Arial" w:cs="Arial"/>
          <w:sz w:val="24"/>
          <w:szCs w:val="24"/>
        </w:rPr>
        <w:t xml:space="preserve"> Passwörter, PIN etc. ablegen</w:t>
      </w:r>
    </w:p>
    <w:p w:rsidR="008207DC" w:rsidRPr="00C56135" w:rsidRDefault="008207DC" w:rsidP="008518BE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>Hier sollte auch eine Kopie einer evtl</w:t>
      </w:r>
      <w:r w:rsidRPr="008518BE">
        <w:rPr>
          <w:rFonts w:ascii="Arial" w:hAnsi="Arial" w:cs="Arial"/>
          <w:i/>
          <w:sz w:val="24"/>
          <w:szCs w:val="24"/>
        </w:rPr>
        <w:t xml:space="preserve">. </w:t>
      </w:r>
      <w:r w:rsidRPr="008518BE">
        <w:rPr>
          <w:rFonts w:ascii="Arial" w:hAnsi="Arial" w:cs="Arial"/>
          <w:i/>
          <w:sz w:val="24"/>
          <w:szCs w:val="24"/>
          <w:u w:val="single"/>
        </w:rPr>
        <w:t>Bankvollmacht</w:t>
      </w:r>
      <w:r w:rsidRPr="00C56135">
        <w:rPr>
          <w:rFonts w:ascii="Arial" w:hAnsi="Arial" w:cs="Arial"/>
          <w:sz w:val="24"/>
          <w:szCs w:val="24"/>
        </w:rPr>
        <w:t xml:space="preserve"> hinterlegt werden. Hierbei gilt es zu beachten:</w:t>
      </w:r>
    </w:p>
    <w:p w:rsidR="008207DC" w:rsidRPr="00C56135" w:rsidRDefault="008207DC" w:rsidP="008518BE">
      <w:pPr>
        <w:pStyle w:val="Listenabsatz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>Die Bankvollmacht gilt in der Regel ab dem Zeitpunkt der Unterschrift, unabhängig vom Fal</w:t>
      </w:r>
      <w:r w:rsidR="008518BE">
        <w:rPr>
          <w:rFonts w:ascii="Arial" w:hAnsi="Arial" w:cs="Arial"/>
          <w:sz w:val="24"/>
          <w:szCs w:val="24"/>
        </w:rPr>
        <w:t xml:space="preserve">l einer eingetretenen Krankheit, </w:t>
      </w:r>
      <w:r w:rsidRPr="00C56135">
        <w:rPr>
          <w:rFonts w:ascii="Arial" w:hAnsi="Arial" w:cs="Arial"/>
          <w:sz w:val="24"/>
          <w:szCs w:val="24"/>
        </w:rPr>
        <w:t>Behinderung</w:t>
      </w:r>
      <w:r w:rsidR="008518BE">
        <w:rPr>
          <w:rFonts w:ascii="Arial" w:hAnsi="Arial" w:cs="Arial"/>
          <w:sz w:val="24"/>
          <w:szCs w:val="24"/>
        </w:rPr>
        <w:t xml:space="preserve"> oder Tod</w:t>
      </w:r>
    </w:p>
    <w:p w:rsidR="008207DC" w:rsidRPr="00C56135" w:rsidRDefault="008207DC" w:rsidP="008518BE">
      <w:pPr>
        <w:pStyle w:val="Listenabsatz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 xml:space="preserve">Die Bankvollmacht gilt in der Regel auch über den Tod hinaus (sog. </w:t>
      </w:r>
      <w:proofErr w:type="spellStart"/>
      <w:r w:rsidRPr="00C56135">
        <w:rPr>
          <w:rFonts w:ascii="Arial" w:hAnsi="Arial" w:cs="Arial"/>
          <w:sz w:val="24"/>
          <w:szCs w:val="24"/>
        </w:rPr>
        <w:t>Transmortale</w:t>
      </w:r>
      <w:proofErr w:type="spellEnd"/>
      <w:r w:rsidRPr="00C56135">
        <w:rPr>
          <w:rFonts w:ascii="Arial" w:hAnsi="Arial" w:cs="Arial"/>
          <w:sz w:val="24"/>
          <w:szCs w:val="24"/>
        </w:rPr>
        <w:t xml:space="preserve"> Vollmacht)</w:t>
      </w:r>
    </w:p>
    <w:p w:rsidR="008207DC" w:rsidRPr="00C56135" w:rsidRDefault="008207DC" w:rsidP="008518BE">
      <w:pPr>
        <w:pStyle w:val="Listenabsatz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>Der Widerruf der Bankvollmacht ist in der Regel nur schriftlich möglich</w:t>
      </w:r>
    </w:p>
    <w:p w:rsidR="008207DC" w:rsidRPr="00C56135" w:rsidRDefault="008207DC" w:rsidP="008518BE">
      <w:pPr>
        <w:pStyle w:val="Listenabsatz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>Ein Formular für eine Kontovollmacht ist hier schon einmal abgelegt.</w:t>
      </w:r>
    </w:p>
    <w:p w:rsidR="008207DC" w:rsidRPr="00C56135" w:rsidRDefault="008207DC" w:rsidP="008518BE">
      <w:pPr>
        <w:pStyle w:val="Listenabsatz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 xml:space="preserve">Es ist nicht sichergestellt, dass einzelne Banken diese Vollmacht akzeptieren, da Banken teilweise eigene Vollmachten haben </w:t>
      </w:r>
    </w:p>
    <w:p w:rsidR="008207DC" w:rsidRPr="00C56135" w:rsidRDefault="008207DC" w:rsidP="008518BE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56135">
        <w:rPr>
          <w:rFonts w:ascii="Arial" w:hAnsi="Arial" w:cs="Arial"/>
          <w:sz w:val="24"/>
          <w:szCs w:val="24"/>
        </w:rPr>
        <w:t>Empfehlung: Vor Erteilung einer Bankvollmacht sich unbedingt persönlich von der jeweiligen Bank beraten lassen</w:t>
      </w:r>
    </w:p>
    <w:p w:rsidR="00B575B6" w:rsidRDefault="00B575B6" w:rsidP="008518BE">
      <w:pPr>
        <w:spacing w:line="360" w:lineRule="auto"/>
      </w:pPr>
    </w:p>
    <w:sectPr w:rsidR="00B575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41944"/>
    <w:multiLevelType w:val="hybridMultilevel"/>
    <w:tmpl w:val="D42C524C"/>
    <w:lvl w:ilvl="0" w:tplc="8CD8C414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6358F"/>
    <w:multiLevelType w:val="hybridMultilevel"/>
    <w:tmpl w:val="CAB035B2"/>
    <w:lvl w:ilvl="0" w:tplc="505A042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C0122"/>
    <w:multiLevelType w:val="hybridMultilevel"/>
    <w:tmpl w:val="AB241F14"/>
    <w:lvl w:ilvl="0" w:tplc="2DBE51D4">
      <w:start w:val="1"/>
      <w:numFmt w:val="decimalZero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A3E6A"/>
    <w:multiLevelType w:val="hybridMultilevel"/>
    <w:tmpl w:val="A3821F44"/>
    <w:lvl w:ilvl="0" w:tplc="0464EA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5221E9"/>
    <w:multiLevelType w:val="hybridMultilevel"/>
    <w:tmpl w:val="3C88A7EE"/>
    <w:lvl w:ilvl="0" w:tplc="92CAD59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DC"/>
    <w:rsid w:val="006A309B"/>
    <w:rsid w:val="008207DC"/>
    <w:rsid w:val="008518BE"/>
    <w:rsid w:val="00B5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1A51"/>
  <w15:chartTrackingRefBased/>
  <w15:docId w15:val="{BED113B3-FE95-4A1F-B4FA-A5D479A7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30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8207D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1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1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2022-09-06T11:52:00Z</cp:lastPrinted>
  <dcterms:created xsi:type="dcterms:W3CDTF">2022-09-06T10:37:00Z</dcterms:created>
  <dcterms:modified xsi:type="dcterms:W3CDTF">2022-09-06T11:53:00Z</dcterms:modified>
</cp:coreProperties>
</file>